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C638CC" w:rsidRDefault="005E7B7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14955" cy="1900555"/>
            <wp:effectExtent l="0" t="0" r="0" b="0"/>
            <wp:docPr id="1" name="Рисунок 69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9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C638CC" w:rsidRDefault="005E7B7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ГЛАВА 12</w:t>
      </w: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</w:p>
    <w:p w:rsidR="00C638CC" w:rsidRDefault="005E7B7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Обоснование инвестиций </w:t>
      </w:r>
    </w:p>
    <w:p w:rsidR="00C638CC" w:rsidRDefault="005E7B7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в строительство, </w:t>
      </w:r>
    </w:p>
    <w:p w:rsidR="00C638CC" w:rsidRDefault="005E7B7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реконструкцию и техническое перевооружение</w:t>
      </w: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C638CC" w:rsidRDefault="004963E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5E7B74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C638CC" w:rsidRDefault="00C638C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C638CC" w:rsidRDefault="005E7B74">
      <w:pPr>
        <w:tabs>
          <w:tab w:val="left" w:pos="9356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Вмастер 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планеактуализируемойсхемытеплоснабженияЛокомотивного городского округасформированосновнойвариант №2</w:t>
      </w:r>
      <w:r>
        <w:rPr>
          <w:color w:val="0F243E" w:themeColor="text2" w:themeShade="8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т.к. в предыдущей версии он был выбран.</w:t>
      </w:r>
    </w:p>
    <w:p w:rsidR="00C638CC" w:rsidRDefault="005E7B74">
      <w:pPr>
        <w:spacing w:after="0" w:line="360" w:lineRule="auto"/>
        <w:ind w:firstLine="708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Вариантпредполагаетсохранениесуществующейсистемытеплоснабжения, что позволит сохранитьсуществующуювыработкутепловойэнергииповысить надежность теплоснабжения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C638CC" w:rsidRDefault="005E7B74">
      <w:pPr>
        <w:spacing w:after="0" w:line="360" w:lineRule="auto"/>
        <w:ind w:firstLine="708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Реконструкциятепловыхсетейи сетей ГВС выполняетсяс цельюзамены физически изношенных трубопроводов, повышение надежности и энергоэффективности теплоснабжения Локомотивного городского округа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C638CC" w:rsidRDefault="005E7B74">
      <w:pPr>
        <w:pStyle w:val="af9"/>
        <w:tabs>
          <w:tab w:val="left" w:pos="9356"/>
        </w:tabs>
        <w:spacing w:after="0" w:line="360" w:lineRule="auto"/>
        <w:ind w:left="0" w:firstLine="567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Впредыдущей версиисхемытеплоснабженияЛокомотивного городского округабыли сформированыдваварианта</w:t>
      </w:r>
      <w:r>
        <w:rPr>
          <w:color w:val="0F243E" w:themeColor="text2" w:themeShade="80"/>
          <w:sz w:val="24"/>
          <w:szCs w:val="24"/>
          <w:lang w:eastAsia="ru-RU"/>
        </w:rPr>
        <w:t>.</w:t>
      </w:r>
    </w:p>
    <w:tbl>
      <w:tblPr>
        <w:tblW w:w="5000" w:type="pct"/>
        <w:tblLook w:val="04A0"/>
      </w:tblPr>
      <w:tblGrid>
        <w:gridCol w:w="2673"/>
        <w:gridCol w:w="3519"/>
        <w:gridCol w:w="3661"/>
      </w:tblGrid>
      <w:tr w:rsidR="00C638C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360" w:lineRule="auto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360" w:lineRule="auto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360" w:lineRule="auto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вариант</w:t>
            </w:r>
          </w:p>
        </w:tc>
      </w:tr>
      <w:tr w:rsidR="00C638C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Тепловые сети и сети горячего водоснабже-ния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276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276" w:lineRule="auto"/>
              <w:jc w:val="both"/>
              <w:rPr>
                <w:rStyle w:val="fontstyle01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</w:tr>
      <w:tr w:rsidR="00C638C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276" w:lineRule="auto"/>
              <w:jc w:val="both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Строительство 2 очереди ко-тельной, с целью увеличения установленной мощности на 6 МВт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C" w:rsidRDefault="005E7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«Центральная» с установкой дополнительного котла мощностью 6 МВт.</w:t>
            </w:r>
          </w:p>
          <w:p w:rsidR="00C638CC" w:rsidRDefault="00C638CC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638CC" w:rsidRDefault="00C638CC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p w:rsidR="00C638CC" w:rsidRDefault="005E7B74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Впредыдущей версиисхемытеплоснабжениябыл принят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Вариант</w:t>
      </w:r>
      <w:r>
        <w:rPr>
          <w:b/>
          <w:color w:val="C00000"/>
          <w:sz w:val="24"/>
          <w:szCs w:val="24"/>
        </w:rPr>
        <w:t xml:space="preserve">2,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который реализуется в настоящие время.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период с 2019 – 2020 год проведена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реконструкция котельной «Центральная» с установкой дополнительного котла мощностью 6МВт.</w:t>
      </w:r>
    </w:p>
    <w:p w:rsidR="00C638CC" w:rsidRDefault="005E7B74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Фактическая стоимость реализации составила </w:t>
      </w:r>
      <w:r>
        <w:rPr>
          <w:rFonts w:ascii="Times New Roman" w:hAnsi="Times New Roman" w:cs="Times New Roman"/>
          <w:b/>
          <w:sz w:val="24"/>
          <w:szCs w:val="24"/>
        </w:rPr>
        <w:t>– 14 803 тыс. рублей (без НДС).</w:t>
      </w:r>
    </w:p>
    <w:p w:rsidR="00C638CC" w:rsidRDefault="00C63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38CC" w:rsidRDefault="005E7B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тепловых сетей и сетей ГВС, подлежащих замене в связи с исчерпанием эксплуатационного ресурса, рекомендуется проводить диагностику технического состояния рассматриваемых участков. По результатам диагностики должно приниматься решение о реконструкции участка, либо о продлении срока эксплуатации.</w:t>
      </w:r>
    </w:p>
    <w:p w:rsidR="00C638CC" w:rsidRDefault="005E7B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Источником финансирования мероприятий в рамках данной группы проектов является статья «кредитные средства».</w:t>
      </w:r>
    </w:p>
    <w:p w:rsidR="00C638CC" w:rsidRDefault="005E7B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Доля ветхих тепловых сетей и сетей ГВС в общем количестве, подлежащих замене, в течение расчетного срока разработки Схемы теплоснабжения очень значительна.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Своевременная замена ветхих тепловых сетей и сетей ГВС позволяет поддерживать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сети в удовлетворительном состоянии, обеспечивает нормативную надежность системы теплоснабжения, значительно снижает повреждаемость сетей.</w:t>
      </w:r>
    </w:p>
    <w:p w:rsidR="00C638CC" w:rsidRDefault="005E7B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Объемы реконструкции ветхих сетей в течение расчетного периода Схемы теплоснабжения определены на основании данных о дате прокладки, реконструкции и капитального ремонта участков сетей и срока полезного использования. Срок полезного использования  сетей составляет 25 лет.</w:t>
      </w:r>
    </w:p>
    <w:p w:rsidR="00C638CC" w:rsidRDefault="005E7B7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Ниже в таблице приведены мероприятия входящие в состав группы проектов №6 и направлены на обеспечение нормативной надёжности и безопасности теплоснабжениях.</w:t>
      </w:r>
    </w:p>
    <w:tbl>
      <w:tblPr>
        <w:tblStyle w:val="aff7"/>
        <w:tblW w:w="9774" w:type="dxa"/>
        <w:tblLook w:val="04A0"/>
      </w:tblPr>
      <w:tblGrid>
        <w:gridCol w:w="532"/>
        <w:gridCol w:w="6096"/>
        <w:gridCol w:w="1545"/>
        <w:gridCol w:w="1601"/>
      </w:tblGrid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b/>
                <w:color w:val="0F243E" w:themeColor="text2" w:themeShade="8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№ пп</w:t>
            </w:r>
          </w:p>
        </w:tc>
        <w:tc>
          <w:tcPr>
            <w:tcW w:w="609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45" w:type="dxa"/>
            <w:shd w:val="clear" w:color="auto" w:fill="auto"/>
          </w:tcPr>
          <w:p w:rsidR="00C638CC" w:rsidRDefault="005E7B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выполнения мероприятия</w:t>
            </w:r>
          </w:p>
        </w:tc>
        <w:tc>
          <w:tcPr>
            <w:tcW w:w="1601" w:type="dxa"/>
            <w:shd w:val="clear" w:color="auto" w:fill="auto"/>
          </w:tcPr>
          <w:p w:rsidR="00C638CC" w:rsidRDefault="005E7B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  <w:p w:rsidR="00C638CC" w:rsidRDefault="005E7B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мероприятия, тыс.руб </w:t>
            </w:r>
          </w:p>
          <w:p w:rsidR="00C638CC" w:rsidRDefault="005E7B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(без НДС) 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УВ48 до инфекционного корпуса больницы Карталинского городского округа, диаметром Ду65/40, протяженностью 203м,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977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УВ4 до УВ31, с заменой диаметров Ду200/150 на  Ду150/125, протяженностью 343м,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2625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УВ31 до УВ46, с заменой диаметров Ду200/150 и Ду150/150 на Ду100/80, протяженностью 316м,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УВ1 до УВ56, с заменой диаметра трубопровода Т3 Ду200 на Ду125, протяженностью 400м, с при-менением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2570</w:t>
            </w:r>
          </w:p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участка тепловой сети Ду300 от УВ4  до Т.А. протяженностью 20м, с применением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УВ2 до УВ4, с заменой диаметров Ду200/150 на Ду 150/125, протяженностью 152м, с применением изоляции из ППУ в покрытии из стеклопластика.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1163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тепловой сети от УВ4 до УВ5, с заменой диаметра Ду100 на Ду 125, протяженностью 42м, с применением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C638CC">
        <w:tc>
          <w:tcPr>
            <w:tcW w:w="532" w:type="dxa"/>
            <w:shd w:val="clear" w:color="auto" w:fill="auto"/>
          </w:tcPr>
          <w:p w:rsidR="00C638CC" w:rsidRDefault="005E7B74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C638CC" w:rsidRDefault="005E7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ГВС от УВ1 до УВ2, с заменой диаметра трубопроводов  Ду350/200 на Ду150/125, протяженностью 408м,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shd w:val="clear" w:color="auto" w:fill="auto"/>
          </w:tcPr>
          <w:p w:rsidR="00C638CC" w:rsidRDefault="00C6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38CC" w:rsidRDefault="005E7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3122</w:t>
            </w:r>
          </w:p>
        </w:tc>
      </w:tr>
    </w:tbl>
    <w:p w:rsidR="00C638CC" w:rsidRDefault="00C638CC">
      <w:pPr>
        <w:ind w:firstLine="53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638CC" w:rsidRDefault="005E7B74">
      <w:pPr>
        <w:shd w:val="clear" w:color="auto" w:fill="FFFFFF"/>
        <w:spacing w:before="5" w:line="360" w:lineRule="auto"/>
        <w:ind w:left="24" w:right="29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Расчет стоимости по реконструкций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участков тепловых сетей и сетей ГВС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произведен по формуле:</w:t>
      </w:r>
    </w:p>
    <w:p w:rsidR="00C638CC" w:rsidRDefault="005E7B74">
      <w:pPr>
        <w:shd w:val="clear" w:color="auto" w:fill="FFFFFF"/>
        <w:spacing w:before="5" w:line="36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7"/>
          <w:sz w:val="24"/>
          <w:szCs w:val="24"/>
        </w:rPr>
        <w:t xml:space="preserve">С = </w:t>
      </w:r>
      <w:r>
        <w:rPr>
          <w:rFonts w:ascii="Times New Roman" w:hAnsi="Times New Roman" w:cs="Times New Roman"/>
          <w:b/>
          <w:color w:val="0F243E" w:themeColor="text2" w:themeShade="80"/>
          <w:spacing w:val="-7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color w:val="0F243E" w:themeColor="text2" w:themeShade="80"/>
          <w:spacing w:val="-7"/>
          <w:sz w:val="24"/>
          <w:szCs w:val="24"/>
        </w:rPr>
        <w:t xml:space="preserve"> х М,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где</w:t>
      </w:r>
    </w:p>
    <w:p w:rsidR="00C638CC" w:rsidRDefault="005E7B74">
      <w:pPr>
        <w:shd w:val="clear" w:color="auto" w:fill="FFFFFF"/>
        <w:spacing w:line="36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протяженность участка тепловых сетей или сетей ГВС, м;</w:t>
      </w:r>
    </w:p>
    <w:p w:rsidR="00C638CC" w:rsidRDefault="005E7B74">
      <w:pPr>
        <w:shd w:val="clear" w:color="auto" w:fill="FFFFFF"/>
        <w:spacing w:before="5" w:line="360" w:lineRule="auto"/>
        <w:ind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стоимость реконструкции 1п.м  сетей принимаем по Таблице 13-06-002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раздела «Наружные тепловые сети» НЦС 81-02-2020.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ind w:right="-58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№1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 203 х 4,814 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977,24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№2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 343 х 7,652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2 624,64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№3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=316 х 5,154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1 628,66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№4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 400 х6,424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2 569,60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№5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=20 х14,736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294,72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№6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 152 х7,652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1 163,10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№7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=42 х 6,424 = 269,81тыс.руб. (без НДС) </w:t>
      </w:r>
    </w:p>
    <w:p w:rsidR="00C638CC" w:rsidRDefault="005E7B74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  <w:u w:val="single"/>
        </w:rPr>
        <w:t>Участок №8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С = 408 х7,652 </w:t>
      </w:r>
      <w:r>
        <w:rPr>
          <w:rFonts w:ascii="Times New Roman" w:hAnsi="Times New Roman" w:cs="Times New Roman"/>
          <w:b/>
          <w:color w:val="0F243E" w:themeColor="text2" w:themeShade="80"/>
          <w:spacing w:val="-5"/>
          <w:sz w:val="24"/>
          <w:szCs w:val="24"/>
        </w:rPr>
        <w:t xml:space="preserve">= 3 122,02 </w:t>
      </w:r>
      <w:r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  <w:t xml:space="preserve">тыс.руб. (без НДС) </w:t>
      </w:r>
    </w:p>
    <w:p w:rsidR="00C638CC" w:rsidRDefault="00C638CC">
      <w:pPr>
        <w:widowControl w:val="0"/>
        <w:shd w:val="clear" w:color="auto" w:fill="FFFFFF"/>
        <w:tabs>
          <w:tab w:val="left" w:pos="874"/>
        </w:tabs>
        <w:spacing w:line="408" w:lineRule="exact"/>
        <w:rPr>
          <w:rFonts w:ascii="Times New Roman" w:hAnsi="Times New Roman" w:cs="Times New Roman"/>
          <w:b/>
          <w:bCs/>
          <w:color w:val="0F243E" w:themeColor="text2" w:themeShade="80"/>
          <w:spacing w:val="-5"/>
          <w:sz w:val="24"/>
          <w:szCs w:val="24"/>
        </w:rPr>
      </w:pPr>
    </w:p>
    <w:p w:rsidR="00C638CC" w:rsidRDefault="005E7B7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Также стоимость реализации мероприятий установлена концессионным соглашением в отношении объектов теплоснабжения (котельная и тепловые сети) от 08.10.2018 года, согласована с Министерством тарифного регулирования и энергетики Челябинской области.</w:t>
      </w:r>
    </w:p>
    <w:p w:rsidR="00C638CC" w:rsidRDefault="00C638CC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b/>
          <w:color w:val="7030A0"/>
          <w:spacing w:val="-1"/>
          <w:sz w:val="24"/>
          <w:szCs w:val="24"/>
        </w:rPr>
      </w:pPr>
    </w:p>
    <w:p w:rsidR="00C638CC" w:rsidRDefault="005E7B74">
      <w:pPr>
        <w:pStyle w:val="af9"/>
        <w:keepNext/>
        <w:keepLines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color w:val="7030A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pacing w:val="-1"/>
          <w:sz w:val="24"/>
          <w:szCs w:val="24"/>
        </w:rPr>
        <w:t>Изменения относительно ранее принятого варианта развития систем теплоснабжения в утвержденной в установленном порядке схеме теплоснабжения не планируется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C638CC" w:rsidRDefault="00C638CC">
      <w:pPr>
        <w:pStyle w:val="af9"/>
        <w:spacing w:after="0"/>
        <w:ind w:left="0" w:firstLine="426"/>
        <w:jc w:val="both"/>
      </w:pPr>
    </w:p>
    <w:sectPr w:rsidR="00C638CC" w:rsidSect="00C638CC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8D" w:rsidRDefault="00F1098D" w:rsidP="00C638CC">
      <w:pPr>
        <w:spacing w:after="0" w:line="240" w:lineRule="auto"/>
      </w:pPr>
      <w:r>
        <w:separator/>
      </w:r>
    </w:p>
  </w:endnote>
  <w:endnote w:type="continuationSeparator" w:id="1">
    <w:p w:rsidR="00F1098D" w:rsidRDefault="00F1098D" w:rsidP="00C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55639"/>
      <w:docPartObj>
        <w:docPartGallery w:val="Page Numbers (Bottom of Page)"/>
        <w:docPartUnique/>
      </w:docPartObj>
    </w:sdtPr>
    <w:sdtContent>
      <w:p w:rsidR="00C638CC" w:rsidRDefault="00B05002">
        <w:pPr>
          <w:pStyle w:val="Footer"/>
          <w:jc w:val="right"/>
        </w:pPr>
        <w:r>
          <w:fldChar w:fldCharType="begin"/>
        </w:r>
        <w:r w:rsidR="005E7B74">
          <w:instrText>PAGE</w:instrText>
        </w:r>
        <w:r>
          <w:fldChar w:fldCharType="separate"/>
        </w:r>
        <w:r w:rsidR="004963ED">
          <w:rPr>
            <w:noProof/>
          </w:rPr>
          <w:t>4</w:t>
        </w:r>
        <w:r>
          <w:fldChar w:fldCharType="end"/>
        </w:r>
      </w:p>
    </w:sdtContent>
  </w:sdt>
  <w:p w:rsidR="00C638CC" w:rsidRDefault="00C63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8D" w:rsidRDefault="00F1098D" w:rsidP="00C638CC">
      <w:pPr>
        <w:spacing w:after="0" w:line="240" w:lineRule="auto"/>
      </w:pPr>
      <w:r>
        <w:separator/>
      </w:r>
    </w:p>
  </w:footnote>
  <w:footnote w:type="continuationSeparator" w:id="1">
    <w:p w:rsidR="00F1098D" w:rsidRDefault="00F1098D" w:rsidP="00C6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0235705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38CC" w:rsidRDefault="0079336B">
        <w:pPr>
          <w:pStyle w:val="Header"/>
          <w:pBdr>
            <w:bottom w:val="thickThinSmallGap" w:sz="24" w:space="1" w:color="622423"/>
          </w:pBdr>
          <w:jc w:val="center"/>
        </w:pPr>
        <w:r>
          <w:t>Глава 12.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C638CC" w:rsidRDefault="00C63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CC"/>
    <w:rsid w:val="004963ED"/>
    <w:rsid w:val="005E7B74"/>
    <w:rsid w:val="0079336B"/>
    <w:rsid w:val="00B05002"/>
    <w:rsid w:val="00C638CC"/>
    <w:rsid w:val="00F1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C638CC"/>
    <w:rPr>
      <w:color w:val="auto"/>
    </w:rPr>
  </w:style>
  <w:style w:type="character" w:customStyle="1" w:styleId="ListLabel2">
    <w:name w:val="ListLabel 2"/>
    <w:qFormat/>
    <w:rsid w:val="00C638CC"/>
    <w:rPr>
      <w:color w:val="auto"/>
    </w:rPr>
  </w:style>
  <w:style w:type="character" w:customStyle="1" w:styleId="ListLabel3">
    <w:name w:val="ListLabel 3"/>
    <w:qFormat/>
    <w:rsid w:val="00C638CC"/>
    <w:rPr>
      <w:color w:val="auto"/>
    </w:rPr>
  </w:style>
  <w:style w:type="character" w:customStyle="1" w:styleId="ListLabel4">
    <w:name w:val="ListLabel 4"/>
    <w:qFormat/>
    <w:rsid w:val="00C638CC"/>
    <w:rPr>
      <w:color w:val="auto"/>
    </w:rPr>
  </w:style>
  <w:style w:type="character" w:customStyle="1" w:styleId="ListLabel5">
    <w:name w:val="ListLabel 5"/>
    <w:qFormat/>
    <w:rsid w:val="00C638CC"/>
    <w:rPr>
      <w:color w:val="auto"/>
    </w:rPr>
  </w:style>
  <w:style w:type="character" w:customStyle="1" w:styleId="ListLabel6">
    <w:name w:val="ListLabel 6"/>
    <w:qFormat/>
    <w:rsid w:val="00C638CC"/>
    <w:rPr>
      <w:color w:val="auto"/>
    </w:rPr>
  </w:style>
  <w:style w:type="character" w:customStyle="1" w:styleId="ListLabel7">
    <w:name w:val="ListLabel 7"/>
    <w:qFormat/>
    <w:rsid w:val="00C638CC"/>
    <w:rPr>
      <w:color w:val="auto"/>
    </w:rPr>
  </w:style>
  <w:style w:type="character" w:customStyle="1" w:styleId="ListLabel8">
    <w:name w:val="ListLabel 8"/>
    <w:qFormat/>
    <w:rsid w:val="00C638CC"/>
    <w:rPr>
      <w:color w:val="auto"/>
    </w:rPr>
  </w:style>
  <w:style w:type="character" w:customStyle="1" w:styleId="ListLabel9">
    <w:name w:val="ListLabel 9"/>
    <w:qFormat/>
    <w:rsid w:val="00C638CC"/>
    <w:rPr>
      <w:color w:val="auto"/>
    </w:rPr>
  </w:style>
  <w:style w:type="character" w:customStyle="1" w:styleId="ListLabel10">
    <w:name w:val="ListLabel 10"/>
    <w:qFormat/>
    <w:rsid w:val="00C638CC"/>
    <w:rPr>
      <w:rFonts w:cs="Times New Roman"/>
    </w:rPr>
  </w:style>
  <w:style w:type="character" w:customStyle="1" w:styleId="ListLabel11">
    <w:name w:val="ListLabel 11"/>
    <w:qFormat/>
    <w:rsid w:val="00C638CC"/>
    <w:rPr>
      <w:rFonts w:cs="Times New Roman"/>
    </w:rPr>
  </w:style>
  <w:style w:type="character" w:customStyle="1" w:styleId="ListLabel12">
    <w:name w:val="ListLabel 12"/>
    <w:qFormat/>
    <w:rsid w:val="00C638CC"/>
    <w:rPr>
      <w:rFonts w:cs="Times New Roman"/>
    </w:rPr>
  </w:style>
  <w:style w:type="character" w:customStyle="1" w:styleId="ListLabel13">
    <w:name w:val="ListLabel 13"/>
    <w:qFormat/>
    <w:rsid w:val="00C638CC"/>
    <w:rPr>
      <w:rFonts w:cs="Times New Roman"/>
    </w:rPr>
  </w:style>
  <w:style w:type="character" w:customStyle="1" w:styleId="ListLabel14">
    <w:name w:val="ListLabel 14"/>
    <w:qFormat/>
    <w:rsid w:val="00C638CC"/>
    <w:rPr>
      <w:rFonts w:cs="Times New Roman"/>
    </w:rPr>
  </w:style>
  <w:style w:type="character" w:customStyle="1" w:styleId="ListLabel15">
    <w:name w:val="ListLabel 15"/>
    <w:qFormat/>
    <w:rsid w:val="00C638CC"/>
    <w:rPr>
      <w:rFonts w:cs="Times New Roman"/>
    </w:rPr>
  </w:style>
  <w:style w:type="character" w:customStyle="1" w:styleId="ListLabel16">
    <w:name w:val="ListLabel 16"/>
    <w:qFormat/>
    <w:rsid w:val="00C638CC"/>
    <w:rPr>
      <w:rFonts w:cs="Times New Roman"/>
    </w:rPr>
  </w:style>
  <w:style w:type="character" w:customStyle="1" w:styleId="ListLabel17">
    <w:name w:val="ListLabel 17"/>
    <w:qFormat/>
    <w:rsid w:val="00C638CC"/>
    <w:rPr>
      <w:rFonts w:cs="Times New Roman"/>
    </w:rPr>
  </w:style>
  <w:style w:type="character" w:customStyle="1" w:styleId="ListLabel18">
    <w:name w:val="ListLabel 18"/>
    <w:qFormat/>
    <w:rsid w:val="00C638C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C638C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C638C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C638C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C638C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C638C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C638C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C638CC"/>
    <w:rPr>
      <w:rFonts w:cs="Times New Roman"/>
    </w:rPr>
  </w:style>
  <w:style w:type="character" w:customStyle="1" w:styleId="ListLabel26">
    <w:name w:val="ListLabel 26"/>
    <w:qFormat/>
    <w:rsid w:val="00C638CC"/>
    <w:rPr>
      <w:rFonts w:cs="Courier New"/>
    </w:rPr>
  </w:style>
  <w:style w:type="character" w:customStyle="1" w:styleId="ListLabel27">
    <w:name w:val="ListLabel 27"/>
    <w:qFormat/>
    <w:rsid w:val="00C638CC"/>
    <w:rPr>
      <w:rFonts w:cs="Courier New"/>
    </w:rPr>
  </w:style>
  <w:style w:type="character" w:customStyle="1" w:styleId="ListLabel28">
    <w:name w:val="ListLabel 28"/>
    <w:qFormat/>
    <w:rsid w:val="00C638CC"/>
    <w:rPr>
      <w:rFonts w:cs="Courier New"/>
    </w:rPr>
  </w:style>
  <w:style w:type="character" w:customStyle="1" w:styleId="ListLabel29">
    <w:name w:val="ListLabel 29"/>
    <w:qFormat/>
    <w:rsid w:val="00C638CC"/>
    <w:rPr>
      <w:rFonts w:eastAsia="Calibri"/>
    </w:rPr>
  </w:style>
  <w:style w:type="character" w:customStyle="1" w:styleId="ListLabel30">
    <w:name w:val="ListLabel 30"/>
    <w:qFormat/>
    <w:rsid w:val="00C638CC"/>
    <w:rPr>
      <w:rFonts w:cs="Courier New"/>
    </w:rPr>
  </w:style>
  <w:style w:type="character" w:customStyle="1" w:styleId="ListLabel31">
    <w:name w:val="ListLabel 31"/>
    <w:qFormat/>
    <w:rsid w:val="00C638CC"/>
    <w:rPr>
      <w:rFonts w:cs="Courier New"/>
    </w:rPr>
  </w:style>
  <w:style w:type="character" w:customStyle="1" w:styleId="ListLabel32">
    <w:name w:val="ListLabel 32"/>
    <w:qFormat/>
    <w:rsid w:val="00C638CC"/>
    <w:rPr>
      <w:rFonts w:cs="Courier New"/>
    </w:rPr>
  </w:style>
  <w:style w:type="character" w:customStyle="1" w:styleId="ListLabel33">
    <w:name w:val="ListLabel 33"/>
    <w:qFormat/>
    <w:rsid w:val="00C638CC"/>
    <w:rPr>
      <w:sz w:val="22"/>
    </w:rPr>
  </w:style>
  <w:style w:type="character" w:customStyle="1" w:styleId="ListLabel34">
    <w:name w:val="ListLabel 34"/>
    <w:qFormat/>
    <w:rsid w:val="00C638CC"/>
    <w:rPr>
      <w:sz w:val="24"/>
    </w:rPr>
  </w:style>
  <w:style w:type="character" w:customStyle="1" w:styleId="ListLabel35">
    <w:name w:val="ListLabel 35"/>
    <w:qFormat/>
    <w:rsid w:val="00C638CC"/>
    <w:rPr>
      <w:sz w:val="24"/>
    </w:rPr>
  </w:style>
  <w:style w:type="character" w:customStyle="1" w:styleId="ListLabel36">
    <w:name w:val="ListLabel 36"/>
    <w:qFormat/>
    <w:rsid w:val="00C638CC"/>
    <w:rPr>
      <w:sz w:val="24"/>
    </w:rPr>
  </w:style>
  <w:style w:type="character" w:customStyle="1" w:styleId="ListLabel37">
    <w:name w:val="ListLabel 37"/>
    <w:qFormat/>
    <w:rsid w:val="00C638CC"/>
    <w:rPr>
      <w:sz w:val="24"/>
    </w:rPr>
  </w:style>
  <w:style w:type="character" w:customStyle="1" w:styleId="ListLabel38">
    <w:name w:val="ListLabel 38"/>
    <w:qFormat/>
    <w:rsid w:val="00C638CC"/>
    <w:rPr>
      <w:sz w:val="24"/>
    </w:rPr>
  </w:style>
  <w:style w:type="character" w:customStyle="1" w:styleId="ListLabel39">
    <w:name w:val="ListLabel 39"/>
    <w:qFormat/>
    <w:rsid w:val="00C638CC"/>
    <w:rPr>
      <w:sz w:val="24"/>
    </w:rPr>
  </w:style>
  <w:style w:type="character" w:customStyle="1" w:styleId="ListLabel40">
    <w:name w:val="ListLabel 40"/>
    <w:qFormat/>
    <w:rsid w:val="00C638CC"/>
    <w:rPr>
      <w:sz w:val="24"/>
    </w:rPr>
  </w:style>
  <w:style w:type="character" w:customStyle="1" w:styleId="ListLabel41">
    <w:name w:val="ListLabel 41"/>
    <w:qFormat/>
    <w:rsid w:val="00C638CC"/>
    <w:rPr>
      <w:sz w:val="24"/>
    </w:rPr>
  </w:style>
  <w:style w:type="character" w:customStyle="1" w:styleId="ListLabel42">
    <w:name w:val="ListLabel 42"/>
    <w:qFormat/>
    <w:rsid w:val="00C638CC"/>
    <w:rPr>
      <w:sz w:val="24"/>
    </w:rPr>
  </w:style>
  <w:style w:type="character" w:customStyle="1" w:styleId="ListLabel43">
    <w:name w:val="ListLabel 43"/>
    <w:qFormat/>
    <w:rsid w:val="00C638CC"/>
    <w:rPr>
      <w:rFonts w:cs="Times New Roman"/>
    </w:rPr>
  </w:style>
  <w:style w:type="character" w:customStyle="1" w:styleId="ListLabel44">
    <w:name w:val="ListLabel 44"/>
    <w:qFormat/>
    <w:rsid w:val="00C638CC"/>
    <w:rPr>
      <w:rFonts w:cs="Times New Roman"/>
    </w:rPr>
  </w:style>
  <w:style w:type="character" w:customStyle="1" w:styleId="ListLabel45">
    <w:name w:val="ListLabel 45"/>
    <w:qFormat/>
    <w:rsid w:val="00C638CC"/>
    <w:rPr>
      <w:rFonts w:cs="Times New Roman"/>
    </w:rPr>
  </w:style>
  <w:style w:type="character" w:customStyle="1" w:styleId="ListLabel46">
    <w:name w:val="ListLabel 46"/>
    <w:qFormat/>
    <w:rsid w:val="00C638CC"/>
    <w:rPr>
      <w:rFonts w:cs="Times New Roman"/>
    </w:rPr>
  </w:style>
  <w:style w:type="character" w:customStyle="1" w:styleId="ListLabel47">
    <w:name w:val="ListLabel 47"/>
    <w:qFormat/>
    <w:rsid w:val="00C638CC"/>
    <w:rPr>
      <w:rFonts w:cs="Times New Roman"/>
    </w:rPr>
  </w:style>
  <w:style w:type="character" w:customStyle="1" w:styleId="ListLabel48">
    <w:name w:val="ListLabel 48"/>
    <w:qFormat/>
    <w:rsid w:val="00C638CC"/>
    <w:rPr>
      <w:rFonts w:cs="Times New Roman"/>
    </w:rPr>
  </w:style>
  <w:style w:type="character" w:customStyle="1" w:styleId="ListLabel49">
    <w:name w:val="ListLabel 49"/>
    <w:qFormat/>
    <w:rsid w:val="00C638CC"/>
    <w:rPr>
      <w:rFonts w:cs="Times New Roman"/>
    </w:rPr>
  </w:style>
  <w:style w:type="character" w:customStyle="1" w:styleId="ListLabel50">
    <w:name w:val="ListLabel 50"/>
    <w:qFormat/>
    <w:rsid w:val="00C638CC"/>
    <w:rPr>
      <w:rFonts w:cs="Times New Roman"/>
    </w:rPr>
  </w:style>
  <w:style w:type="character" w:customStyle="1" w:styleId="ListLabel51">
    <w:name w:val="ListLabel 51"/>
    <w:qFormat/>
    <w:rsid w:val="00C638CC"/>
    <w:rPr>
      <w:rFonts w:cs="Times New Roman"/>
    </w:rPr>
  </w:style>
  <w:style w:type="character" w:customStyle="1" w:styleId="ListLabel52">
    <w:name w:val="ListLabel 52"/>
    <w:qFormat/>
    <w:rsid w:val="00C638CC"/>
    <w:rPr>
      <w:color w:val="632423"/>
    </w:rPr>
  </w:style>
  <w:style w:type="character" w:customStyle="1" w:styleId="ListLabel53">
    <w:name w:val="ListLabel 53"/>
    <w:qFormat/>
    <w:rsid w:val="00C638CC"/>
    <w:rPr>
      <w:color w:val="E36C0A"/>
      <w:sz w:val="18"/>
    </w:rPr>
  </w:style>
  <w:style w:type="character" w:customStyle="1" w:styleId="ListLabel54">
    <w:name w:val="ListLabel 54"/>
    <w:qFormat/>
    <w:rsid w:val="00C638CC"/>
    <w:rPr>
      <w:rFonts w:cs="Courier New"/>
    </w:rPr>
  </w:style>
  <w:style w:type="character" w:customStyle="1" w:styleId="ListLabel55">
    <w:name w:val="ListLabel 55"/>
    <w:qFormat/>
    <w:rsid w:val="00C638CC"/>
    <w:rPr>
      <w:rFonts w:cs="Courier New"/>
    </w:rPr>
  </w:style>
  <w:style w:type="character" w:customStyle="1" w:styleId="ListLabel56">
    <w:name w:val="ListLabel 56"/>
    <w:qFormat/>
    <w:rsid w:val="00C638CC"/>
    <w:rPr>
      <w:rFonts w:cs="Courier New"/>
    </w:rPr>
  </w:style>
  <w:style w:type="character" w:customStyle="1" w:styleId="ListLabel57">
    <w:name w:val="ListLabel 57"/>
    <w:qFormat/>
    <w:rsid w:val="00C638CC"/>
    <w:rPr>
      <w:rFonts w:cs="Times New Roman"/>
    </w:rPr>
  </w:style>
  <w:style w:type="character" w:customStyle="1" w:styleId="ListLabel58">
    <w:name w:val="ListLabel 58"/>
    <w:qFormat/>
    <w:rsid w:val="00C638CC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C638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C638CC"/>
    <w:rPr>
      <w:rFonts w:cs="Mangal"/>
    </w:rPr>
  </w:style>
  <w:style w:type="paragraph" w:customStyle="1" w:styleId="Caption">
    <w:name w:val="Caption"/>
    <w:basedOn w:val="a"/>
    <w:qFormat/>
    <w:rsid w:val="00C638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C638CC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overflowPunct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d">
    <w:name w:val="No Spacing"/>
    <w:uiPriority w:val="1"/>
    <w:qFormat/>
    <w:rsid w:val="00C063ED"/>
    <w:rPr>
      <w:sz w:val="22"/>
    </w:rPr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  <w:sz w:val="22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overflowPunct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4CCB-E86E-46CF-88FD-9DBE135C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12.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71</cp:revision>
  <cp:lastPrinted>2019-03-18T06:09:00Z</cp:lastPrinted>
  <dcterms:created xsi:type="dcterms:W3CDTF">2018-12-08T10:25:00Z</dcterms:created>
  <dcterms:modified xsi:type="dcterms:W3CDTF">2022-06-30T06:08:00Z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